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6F" w:rsidRDefault="00CB566F">
      <w:pPr>
        <w:rPr>
          <w:rFonts w:ascii="標楷體" w:eastAsia="標楷體"/>
          <w:vanish/>
          <w:sz w:val="28"/>
        </w:rPr>
      </w:pPr>
    </w:p>
    <w:tbl>
      <w:tblPr>
        <w:tblW w:w="494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5"/>
        <w:gridCol w:w="6685"/>
      </w:tblGrid>
      <w:tr w:rsidR="00CB566F">
        <w:trPr>
          <w:tblCellSpacing w:w="15" w:type="dxa"/>
          <w:jc w:val="center"/>
        </w:trPr>
        <w:tc>
          <w:tcPr>
            <w:tcW w:w="4964" w:type="pct"/>
            <w:gridSpan w:val="2"/>
            <w:vAlign w:val="center"/>
          </w:tcPr>
          <w:p w:rsidR="00CB566F" w:rsidRDefault="00CB566F">
            <w:pPr>
              <w:rPr>
                <w:rFonts w:ascii="標楷體" w:eastAsia="標楷體"/>
                <w:b/>
                <w:bCs/>
                <w:sz w:val="36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b/>
                <w:bCs/>
                <w:sz w:val="36"/>
              </w:rPr>
              <w:t>民法</w:t>
            </w:r>
            <w:r>
              <w:rPr>
                <w:rFonts w:ascii="標楷體" w:eastAsia="標楷體"/>
                <w:b/>
                <w:bCs/>
                <w:sz w:val="36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z w:val="36"/>
              </w:rPr>
              <w:t>(</w:t>
            </w:r>
            <w:r w:rsidR="003842A7" w:rsidRPr="003842A7">
              <w:rPr>
                <w:rFonts w:ascii="標楷體" w:eastAsia="標楷體" w:hint="eastAsia"/>
                <w:b/>
                <w:bCs/>
                <w:sz w:val="36"/>
              </w:rPr>
              <w:t>修正日期：</w:t>
            </w:r>
            <w:r w:rsidR="003842A7" w:rsidRPr="003842A7">
              <w:rPr>
                <w:rFonts w:ascii="標楷體" w:eastAsia="標楷體" w:hint="eastAsia"/>
                <w:b/>
                <w:bCs/>
                <w:sz w:val="36"/>
              </w:rPr>
              <w:tab/>
              <w:t>民國 110 年 01 月 20 日</w:t>
            </w:r>
            <w:r>
              <w:rPr>
                <w:rFonts w:ascii="標楷體" w:eastAsia="標楷體" w:hint="eastAsia"/>
                <w:b/>
                <w:bCs/>
                <w:sz w:val="36"/>
              </w:rPr>
              <w:t>)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18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人格權受侵害時，得請求法院除去其侵害；有受侵害之虞時，得請求防止之。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前項情形，以法律有特別規定者為限，得請求損害賠償或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慰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撫金。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28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法人對於其董事或其他有代表權之人因執行職務所加於他人之損害，與該行為人連帶負賠償之責任。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149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對於現時不法之侵害，為防衛自己或他人之權利所為之行為，不負損害賠償之責。但已逾越必要程度者，仍應負相當賠償之責。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150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因避免自己或他人生命、身體、自由或財產上急迫之危險所為之行為，不負損害賠償之責。但以避免危險所必要，並未逾越危險所能致之損害程度者為限。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前項情形，其危險之發生，如行為人有責任者，應負損害賠償之責。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184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因故意或過失，不法侵害他人之權利者，負損害賠償責任。故意以背於善良風俗之方法，加損害於他人者亦同。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違反保護他人之法律，致生損害於他人者，負賠償責</w:t>
            </w:r>
            <w:r w:rsidRPr="003842A7">
              <w:rPr>
                <w:rFonts w:ascii="標楷體" w:eastAsia="標楷體" w:hint="eastAsia"/>
                <w:sz w:val="28"/>
              </w:rPr>
              <w:lastRenderedPageBreak/>
              <w:t>任。但能證明其行為無過失者，不在此限。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第 185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數人共同不法侵害他人之權利者，連帶負損害賠償責任。不能知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其中孰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為加害人者亦同。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proofErr w:type="gramStart"/>
            <w:r w:rsidRPr="003842A7">
              <w:rPr>
                <w:rFonts w:ascii="標楷體" w:eastAsia="標楷體" w:hint="eastAsia"/>
                <w:sz w:val="28"/>
              </w:rPr>
              <w:t>造意人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及幫助人，視為共同行為人。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187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無行為能力人或限制行為能力人，不法侵害他人之權利者，以行為時有識別能力為限，與其法定代理人連帶負損害賠償責任。行為時無識別能力者，由其法定代理人負損害賠償責任。</w:t>
            </w:r>
          </w:p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前項情形，法定代理人如其監督並未疏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懈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，或縱加以相當之監督，而仍不免發生損害者，不負賠償責任。</w:t>
            </w:r>
          </w:p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如不能依前二項規定受損害賠償時，法院因被害人之聲請，得斟酌行為人及其法定代理人與被害人之經濟狀況，令行為人或其法定代理人為全部或一部之損害賠償。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前項規定，於其他之人，在無意識或精神錯亂中所為之行為致第三人受損害時，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準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用之。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190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動物加損害於他人者，由其占有人負損害賠償責任。但依動物之種類及性質已為相當注意之管束，或縱為相當注意之管束而仍不免發生損害者，不在此限。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lastRenderedPageBreak/>
              <w:t>動物係由第三人或他動物之挑動，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致加損害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於他人者，其占有人對於該第三人或該他動物之占有人，有求償權。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第 192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不法侵害他人致死者，對於支出醫療及增加生活上需要之費用或殯葬費之人，亦應負損害賠償責任。</w:t>
            </w:r>
          </w:p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被害人對於第三人負有法定扶養義務者，加害人對於該第三人亦應負損害賠償責任。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第一百九十三條第二項之規定，於前項損害賠償適用之。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193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不法侵害他人之身體或健康者，對於被害人因此喪失或減少勞動能力或增加生活上之需要時，應負損害賠償責任。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前項損害賠償，法院得因當事人之聲請，定為支付定期金。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但須命加害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人提出擔保。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194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不法侵害他人致死者，被害人之父、母、子、女及配偶，雖非財產上之損害，亦得請求賠償相當之金額。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197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因侵權行為所生之損害賠償請求權，自請求權人知有損害及賠償義務人時起，二年間不行使而消滅，自有侵權</w:t>
            </w:r>
            <w:r w:rsidRPr="003842A7">
              <w:rPr>
                <w:rFonts w:ascii="標楷體" w:eastAsia="標楷體" w:hint="eastAsia"/>
                <w:sz w:val="28"/>
              </w:rPr>
              <w:lastRenderedPageBreak/>
              <w:t>行為時起，逾十年者亦同。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損害賠償之義務人，因侵權行為受利益，致被害人受損害者，於前項時效完成後，仍應依關於不當得利之規定，返還其所受之利益於被害人。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第 198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因侵權行為對於被害人取得債權者，被害人對該債權之廢止請求權，雖因時效而消滅，仍得拒絕履行。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214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應回復原狀者，如經債權人定相當期限催告後，逾期不為回復時，債權人得請求以金錢賠償其損害。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215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不能回復原狀或回復顯有重大困難者，應以金錢賠償其損害。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216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損害賠償，除法律另有規定或契約另有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訂定外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，應以填補債權人所受損害及所失利益為限。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依通常情形，或依已定之計劃、設備或其他特別情事，可得預期之利益，視為所失利益。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218-1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關於物或權利之喪失或損害，負賠償責任之人，得向損害賠償請求權人，請求讓與基於其物之所有權或基於其權利對於第三人之請求權。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第二百六十四條之規定，於前項情形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準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用之。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第 225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因不可歸責於債務人之事由，致給付不能者，債務人免給付義務。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債務人因前項給付不能之事由，對第三人有損害賠償請求權者，債權人得向債務人請求讓與其損害賠償請求權，或交付其所受領之賠償物。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226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因可歸責於債務人之事由，致給付不能者，債權人得請求賠償損害。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前項情形，給付一部不能者，若其他部分之履行，於債權人無利益時，債權人得拒絕該部之給付，請求全部不履行之損害賠償。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227-1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債務人因債務不履行，致債權人之人格權受侵害者，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準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用第一百九十二條至第一百九十五條及第一百九十七條之規定，負損害賠償責任。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245-1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契約未成立時，當事人為準備或商議訂立契約而有左列情形之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一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者，對於非因過失而信契約能成立致受損害之他方當事人，負賠償責任：</w:t>
            </w:r>
          </w:p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一、就訂約有重要關係之事項，對他方之詢問，惡意隱匿或為不實之說明者。</w:t>
            </w:r>
          </w:p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二、知悉或持有他方之秘密，經他方明示應予保密，而</w:t>
            </w:r>
            <w:r w:rsidRPr="003842A7">
              <w:rPr>
                <w:rFonts w:ascii="標楷體" w:eastAsia="標楷體" w:hint="eastAsia"/>
                <w:sz w:val="28"/>
              </w:rPr>
              <w:lastRenderedPageBreak/>
              <w:t>因故意或重大過失洩漏之者。</w:t>
            </w:r>
          </w:p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三、其他顯然違反誠實及信用方法者。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前項損害賠償請求權，因二年間不行使而消滅。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第 247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契約因以不能之給付為標的而無效者，當事人於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訂約時知其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不能或可得而知者，對於非因過失而信契約為有效致受損害之他方當事人，負賠償責任。</w:t>
            </w:r>
          </w:p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給付一部不能，而契約就其他部分仍為有效者，或依選擇而定之數宗給付中有一宗給付不能者，</w:t>
            </w:r>
            <w:proofErr w:type="gramStart"/>
            <w:r w:rsidRPr="003842A7">
              <w:rPr>
                <w:rFonts w:ascii="標楷體" w:eastAsia="標楷體" w:hint="eastAsia"/>
                <w:sz w:val="28"/>
              </w:rPr>
              <w:t>準</w:t>
            </w:r>
            <w:proofErr w:type="gramEnd"/>
            <w:r w:rsidRPr="003842A7">
              <w:rPr>
                <w:rFonts w:ascii="標楷體" w:eastAsia="標楷體" w:hint="eastAsia"/>
                <w:sz w:val="28"/>
              </w:rPr>
              <w:t>用前項之規定。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前二項損害賠償請求權，因二年間不行使而消滅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260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解除權之行使，不妨礙損害賠償之請求。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268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契約當事人之一方，約定由第三人對於他方為給付者，於第三人不為給付時，應負損害賠償責任。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339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因故意侵權行為而負擔之債，其債務人不得主張抵銷。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978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婚約當事人之一方，無第九百七十六條之理由而違反婚約者，對於他方因此所受之損害，應負賠償之責。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1035 條</w:t>
            </w:r>
          </w:p>
        </w:tc>
        <w:tc>
          <w:tcPr>
            <w:tcW w:w="4184" w:type="pct"/>
          </w:tcPr>
          <w:p w:rsidR="00CB566F" w:rsidRDefault="003842A7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(刪除)</w:t>
            </w:r>
          </w:p>
        </w:tc>
      </w:tr>
      <w:tr w:rsidR="00CB566F">
        <w:trPr>
          <w:tblCellSpacing w:w="15" w:type="dxa"/>
          <w:jc w:val="center"/>
        </w:trPr>
        <w:tc>
          <w:tcPr>
            <w:tcW w:w="762" w:type="pct"/>
            <w:noWrap/>
          </w:tcPr>
          <w:p w:rsidR="00CB566F" w:rsidRDefault="00CB566F">
            <w:pPr>
              <w:pStyle w:val="HTML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 1056 條</w:t>
            </w:r>
          </w:p>
        </w:tc>
        <w:tc>
          <w:tcPr>
            <w:tcW w:w="4184" w:type="pct"/>
          </w:tcPr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夫妻之一方，因判決離婚而受有損害者，得向有過失之</w:t>
            </w:r>
            <w:r w:rsidRPr="003842A7">
              <w:rPr>
                <w:rFonts w:ascii="標楷體" w:eastAsia="標楷體" w:hint="eastAsia"/>
                <w:sz w:val="28"/>
              </w:rPr>
              <w:lastRenderedPageBreak/>
              <w:t>他方，請求賠償。</w:t>
            </w:r>
          </w:p>
          <w:p w:rsidR="003842A7" w:rsidRPr="003842A7" w:rsidRDefault="003842A7" w:rsidP="003842A7">
            <w:pPr>
              <w:pStyle w:val="HTML"/>
              <w:rPr>
                <w:rFonts w:ascii="標楷體" w:eastAsia="標楷體" w:hint="eastAsia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前項情形，雖非財產上之損害，受害人亦得請求賠償相當之金額。但以受害人無過失者為限。</w:t>
            </w:r>
          </w:p>
          <w:p w:rsidR="00CB566F" w:rsidRDefault="003842A7" w:rsidP="003842A7">
            <w:pPr>
              <w:pStyle w:val="HTML"/>
              <w:rPr>
                <w:rFonts w:ascii="標楷體" w:eastAsia="標楷體"/>
                <w:sz w:val="28"/>
              </w:rPr>
            </w:pPr>
            <w:r w:rsidRPr="003842A7">
              <w:rPr>
                <w:rFonts w:ascii="標楷體" w:eastAsia="標楷體" w:hint="eastAsia"/>
                <w:sz w:val="28"/>
              </w:rPr>
              <w:t>前項請求權，不得讓與或繼承。但已依契約承諾或已起訴者，不在此限。</w:t>
            </w:r>
          </w:p>
        </w:tc>
      </w:tr>
    </w:tbl>
    <w:p w:rsidR="00CB566F" w:rsidRDefault="00CB566F">
      <w:pPr>
        <w:pStyle w:val="Web"/>
        <w:widowControl w:val="0"/>
        <w:spacing w:before="0" w:beforeAutospacing="0" w:after="0" w:afterAutospacing="0"/>
        <w:rPr>
          <w:rFonts w:ascii="標楷體" w:eastAsia="標楷體"/>
          <w:kern w:val="2"/>
          <w:sz w:val="28"/>
        </w:rPr>
      </w:pPr>
    </w:p>
    <w:sectPr w:rsidR="00CB56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42" w:rsidRDefault="00B65042">
      <w:r>
        <w:separator/>
      </w:r>
    </w:p>
  </w:endnote>
  <w:endnote w:type="continuationSeparator" w:id="0">
    <w:p w:rsidR="00B65042" w:rsidRDefault="00B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6F" w:rsidRDefault="00CB566F">
    <w:pPr>
      <w:pStyle w:val="a4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42" w:rsidRDefault="00B65042">
      <w:r>
        <w:separator/>
      </w:r>
    </w:p>
  </w:footnote>
  <w:footnote w:type="continuationSeparator" w:id="0">
    <w:p w:rsidR="00B65042" w:rsidRDefault="00B6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23A"/>
    <w:multiLevelType w:val="hybridMultilevel"/>
    <w:tmpl w:val="DCB82D36"/>
    <w:lvl w:ilvl="0" w:tplc="C210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004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587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1E8A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C2D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803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325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1AE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261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E1B73"/>
    <w:multiLevelType w:val="hybridMultilevel"/>
    <w:tmpl w:val="94AC1A28"/>
    <w:lvl w:ilvl="0" w:tplc="E5963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CA8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C84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AE2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745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D04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EC3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447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362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A7"/>
    <w:rsid w:val="003842A7"/>
    <w:rsid w:val="00B65042"/>
    <w:rsid w:val="00B906D7"/>
    <w:rsid w:val="00C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4A87F-E631-4EE4-A8DC-D03764AE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f9">
    <w:name w:val="f9"/>
    <w:basedOn w:val="a"/>
    <w:pPr>
      <w:widowControl/>
      <w:spacing w:before="100" w:beforeAutospacing="1" w:after="100" w:afterAutospacing="1"/>
    </w:pPr>
    <w:rPr>
      <w:rFonts w:ascii="細明體" w:eastAsia="細明體" w:hint="eastAsia"/>
      <w:kern w:val="0"/>
      <w:sz w:val="18"/>
      <w:szCs w:val="1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6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民法 (民國 89 年 04 月 26 日 修正)</dc:title>
  <dc:subject/>
  <dc:creator>moe</dc:creator>
  <cp:keywords/>
  <dc:description/>
  <cp:lastModifiedBy>駱韋綱</cp:lastModifiedBy>
  <cp:revision>2</cp:revision>
  <dcterms:created xsi:type="dcterms:W3CDTF">2024-10-11T03:18:00Z</dcterms:created>
  <dcterms:modified xsi:type="dcterms:W3CDTF">2024-10-11T03:18:00Z</dcterms:modified>
</cp:coreProperties>
</file>